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A75AB" w14:textId="77777777" w:rsidR="00DF1BB5" w:rsidRDefault="00DF1BB5" w:rsidP="00B27541">
      <w:pPr>
        <w:jc w:val="both"/>
        <w:rPr>
          <w:rFonts w:ascii="Arial Narrow" w:hAnsi="Arial Narrow" w:cs="Arial"/>
        </w:rPr>
      </w:pPr>
    </w:p>
    <w:p w14:paraId="28244367" w14:textId="0B26F428" w:rsidR="008B6608" w:rsidRDefault="003B2CDF" w:rsidP="003B2CDF">
      <w:pPr>
        <w:jc w:val="center"/>
        <w:rPr>
          <w:rFonts w:ascii="Arial Narrow" w:hAnsi="Arial Narrow" w:cs="Arial"/>
        </w:rPr>
      </w:pPr>
      <w:r>
        <w:rPr>
          <w:rFonts w:ascii="Arial" w:eastAsia="Times New Roman" w:hAnsi="Arial" w:cs="Arial"/>
          <w:sz w:val="22"/>
          <w:szCs w:val="22"/>
          <w:lang w:eastAsia="es-ES"/>
        </w:rPr>
        <w:t>Anexo N°2.1.</w:t>
      </w:r>
    </w:p>
    <w:tbl>
      <w:tblPr>
        <w:tblW w:w="0" w:type="auto"/>
        <w:tblCellMar>
          <w:left w:w="70" w:type="dxa"/>
          <w:right w:w="70" w:type="dxa"/>
        </w:tblCellMar>
        <w:tblLook w:val="04A0" w:firstRow="1" w:lastRow="0" w:firstColumn="1" w:lastColumn="0" w:noHBand="0" w:noVBand="1"/>
      </w:tblPr>
      <w:tblGrid>
        <w:gridCol w:w="8501"/>
        <w:gridCol w:w="337"/>
      </w:tblGrid>
      <w:tr w:rsidR="001A1449" w:rsidRPr="001A1449" w14:paraId="242566C9" w14:textId="77777777" w:rsidTr="001A1449">
        <w:trPr>
          <w:trHeight w:val="255"/>
        </w:trPr>
        <w:tc>
          <w:tcPr>
            <w:tcW w:w="0" w:type="auto"/>
            <w:gridSpan w:val="2"/>
            <w:tcBorders>
              <w:top w:val="nil"/>
              <w:left w:val="nil"/>
              <w:bottom w:val="nil"/>
              <w:right w:val="nil"/>
            </w:tcBorders>
            <w:vAlign w:val="center"/>
            <w:hideMark/>
          </w:tcPr>
          <w:p w14:paraId="28140C37" w14:textId="77777777" w:rsidR="001A1449" w:rsidRPr="001A1449" w:rsidRDefault="001A1449" w:rsidP="001A1449">
            <w:pPr>
              <w:rPr>
                <w:rFonts w:ascii="Times New Roman" w:eastAsia="Times New Roman" w:hAnsi="Times New Roman" w:cs="Times New Roman"/>
                <w:lang w:val="es-MX" w:eastAsia="es-MX"/>
              </w:rPr>
            </w:pPr>
            <w:bookmarkStart w:id="0" w:name="RANGE!A1:B71"/>
            <w:bookmarkEnd w:id="0"/>
          </w:p>
        </w:tc>
      </w:tr>
      <w:tr w:rsidR="001A1449" w:rsidRPr="001A1449" w14:paraId="6D908DC7" w14:textId="77777777" w:rsidTr="001A1449">
        <w:trPr>
          <w:trHeight w:val="255"/>
        </w:trPr>
        <w:tc>
          <w:tcPr>
            <w:tcW w:w="0" w:type="auto"/>
            <w:gridSpan w:val="2"/>
            <w:tcBorders>
              <w:top w:val="nil"/>
              <w:left w:val="nil"/>
              <w:bottom w:val="nil"/>
              <w:right w:val="nil"/>
            </w:tcBorders>
            <w:vAlign w:val="center"/>
            <w:hideMark/>
          </w:tcPr>
          <w:p w14:paraId="49E4E777" w14:textId="77777777" w:rsidR="001A1449" w:rsidRPr="001A1449" w:rsidRDefault="001A1449" w:rsidP="001A1449">
            <w:pPr>
              <w:jc w:val="center"/>
              <w:rPr>
                <w:rFonts w:ascii="Arial" w:eastAsia="Times New Roman" w:hAnsi="Arial" w:cs="Arial"/>
                <w:b/>
                <w:bCs/>
                <w:color w:val="000000"/>
                <w:sz w:val="20"/>
                <w:szCs w:val="20"/>
                <w:lang w:val="es-MX" w:eastAsia="es-MX"/>
              </w:rPr>
            </w:pPr>
            <w:r w:rsidRPr="001A1449">
              <w:rPr>
                <w:rFonts w:ascii="Arial" w:eastAsia="Times New Roman" w:hAnsi="Arial" w:cs="Arial"/>
                <w:b/>
                <w:bCs/>
                <w:color w:val="000000"/>
                <w:sz w:val="20"/>
                <w:szCs w:val="20"/>
                <w:lang w:val="es-MX" w:eastAsia="es-MX"/>
              </w:rPr>
              <w:t>GOBERNACIÓN DE SUCRE</w:t>
            </w:r>
          </w:p>
        </w:tc>
      </w:tr>
      <w:tr w:rsidR="001A1449" w:rsidRPr="001A1449" w14:paraId="466EF916" w14:textId="77777777" w:rsidTr="001A1449">
        <w:trPr>
          <w:trHeight w:val="255"/>
        </w:trPr>
        <w:tc>
          <w:tcPr>
            <w:tcW w:w="0" w:type="auto"/>
            <w:gridSpan w:val="2"/>
            <w:tcBorders>
              <w:top w:val="nil"/>
              <w:left w:val="nil"/>
              <w:bottom w:val="nil"/>
              <w:right w:val="nil"/>
            </w:tcBorders>
            <w:vAlign w:val="center"/>
            <w:hideMark/>
          </w:tcPr>
          <w:p w14:paraId="5D9C0B6B" w14:textId="7BCA6C66" w:rsidR="001A1449" w:rsidRPr="001A1449" w:rsidRDefault="001A1449" w:rsidP="001A1449">
            <w:pPr>
              <w:jc w:val="center"/>
              <w:rPr>
                <w:rFonts w:ascii="Arial" w:eastAsia="Times New Roman" w:hAnsi="Arial" w:cs="Arial"/>
                <w:b/>
                <w:bCs/>
                <w:color w:val="000000"/>
                <w:sz w:val="20"/>
                <w:szCs w:val="20"/>
                <w:lang w:val="es-MX" w:eastAsia="es-MX"/>
              </w:rPr>
            </w:pPr>
            <w:r w:rsidRPr="001A1449">
              <w:rPr>
                <w:rFonts w:ascii="Arial" w:eastAsia="Times New Roman" w:hAnsi="Arial" w:cs="Arial"/>
                <w:b/>
                <w:bCs/>
                <w:color w:val="000000"/>
                <w:sz w:val="20"/>
                <w:szCs w:val="20"/>
                <w:lang w:val="es-MX" w:eastAsia="es-MX"/>
              </w:rPr>
              <w:t>CONDICIONES TÉCNICAS BÁSICAS OBLIGATORIAS</w:t>
            </w:r>
          </w:p>
        </w:tc>
      </w:tr>
      <w:tr w:rsidR="001A1449" w:rsidRPr="001A1449" w14:paraId="5A2230A8" w14:textId="77777777" w:rsidTr="001A1449">
        <w:trPr>
          <w:trHeight w:val="255"/>
        </w:trPr>
        <w:tc>
          <w:tcPr>
            <w:tcW w:w="0" w:type="auto"/>
            <w:gridSpan w:val="2"/>
            <w:tcBorders>
              <w:top w:val="nil"/>
              <w:left w:val="nil"/>
              <w:bottom w:val="nil"/>
              <w:right w:val="nil"/>
            </w:tcBorders>
            <w:vAlign w:val="center"/>
            <w:hideMark/>
          </w:tcPr>
          <w:p w14:paraId="2A56AC71" w14:textId="05AA3A50" w:rsidR="001A1449" w:rsidRPr="001A1449" w:rsidRDefault="001A1449" w:rsidP="001A1449">
            <w:pPr>
              <w:jc w:val="center"/>
              <w:rPr>
                <w:rFonts w:ascii="Arial" w:eastAsia="Times New Roman" w:hAnsi="Arial" w:cs="Arial"/>
                <w:b/>
                <w:bCs/>
                <w:color w:val="000000"/>
                <w:sz w:val="20"/>
                <w:szCs w:val="20"/>
                <w:lang w:val="es-MX" w:eastAsia="es-MX"/>
              </w:rPr>
            </w:pPr>
            <w:r w:rsidRPr="001A1449">
              <w:rPr>
                <w:rFonts w:ascii="Arial" w:eastAsia="Times New Roman" w:hAnsi="Arial" w:cs="Arial"/>
                <w:b/>
                <w:bCs/>
                <w:color w:val="000000"/>
                <w:sz w:val="20"/>
                <w:szCs w:val="20"/>
                <w:lang w:val="es-MX" w:eastAsia="es-MX"/>
              </w:rPr>
              <w:t>SEGURO DE AUTOMÓVILES</w:t>
            </w:r>
          </w:p>
        </w:tc>
      </w:tr>
      <w:tr w:rsidR="001A1449" w:rsidRPr="001A1449" w14:paraId="73714968"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6CB1936A" w14:textId="0D282F62"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TOMADOR: </w:t>
            </w:r>
            <w:r w:rsidRPr="001A1449">
              <w:rPr>
                <w:rFonts w:ascii="Arial" w:eastAsia="Times New Roman" w:hAnsi="Arial" w:cs="Arial"/>
                <w:sz w:val="20"/>
                <w:szCs w:val="20"/>
                <w:lang w:val="es-MX" w:eastAsia="es-MX"/>
              </w:rPr>
              <w:t>GOBERNACIÓN DE SUCRE</w:t>
            </w:r>
          </w:p>
        </w:tc>
      </w:tr>
      <w:tr w:rsidR="001A1449" w:rsidRPr="001A1449" w14:paraId="70E60327"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5C1A1D61" w14:textId="176D127D"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ASEGURADO:</w:t>
            </w:r>
            <w:r w:rsidRPr="001A1449">
              <w:rPr>
                <w:rFonts w:ascii="Arial" w:eastAsia="Times New Roman" w:hAnsi="Arial" w:cs="Arial"/>
                <w:sz w:val="20"/>
                <w:szCs w:val="20"/>
                <w:lang w:val="es-MX" w:eastAsia="es-MX"/>
              </w:rPr>
              <w:t xml:space="preserve"> GOBERNACIÓN DE SUCRE</w:t>
            </w:r>
          </w:p>
        </w:tc>
      </w:tr>
      <w:tr w:rsidR="001A1449" w:rsidRPr="001A1449" w14:paraId="6D49130C"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4313E51B" w14:textId="7AE61699"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BENEFICIARIO: </w:t>
            </w:r>
            <w:r w:rsidRPr="001A1449">
              <w:rPr>
                <w:rFonts w:ascii="Arial" w:eastAsia="Times New Roman" w:hAnsi="Arial" w:cs="Arial"/>
                <w:sz w:val="20"/>
                <w:szCs w:val="20"/>
                <w:lang w:val="es-MX" w:eastAsia="es-MX"/>
              </w:rPr>
              <w:t>GOBERNACIÓN DE SUCRE</w:t>
            </w:r>
          </w:p>
        </w:tc>
      </w:tr>
      <w:tr w:rsidR="001A1449" w:rsidRPr="001A1449" w14:paraId="1096089C"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276CB630"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VIGENCIA: Un (1) año</w:t>
            </w:r>
          </w:p>
        </w:tc>
      </w:tr>
      <w:tr w:rsidR="001A1449" w:rsidRPr="001A1449" w14:paraId="1741084B" w14:textId="77777777" w:rsidTr="001A1449">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66D512D9"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1. Objeto del Seguro:</w:t>
            </w:r>
          </w:p>
        </w:tc>
      </w:tr>
      <w:tr w:rsidR="001A1449" w:rsidRPr="001A1449" w14:paraId="3FF8C5C8" w14:textId="77777777" w:rsidTr="001A1449">
        <w:trPr>
          <w:trHeight w:val="8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7E995" w14:textId="04650648" w:rsidR="001A1449" w:rsidRPr="001A1449" w:rsidRDefault="001A1449" w:rsidP="001A1449">
            <w:pPr>
              <w:jc w:val="both"/>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Amparar los daños y/o pérdidas que sufran los vehículos de propiedad o por los que sea legalmente responsable la GOBERNACIÓN DE SUCRE por los daños a bienes y/o lesiones y/o muerte de terceros, por causa de accidentes en territorio nacional.</w:t>
            </w:r>
          </w:p>
        </w:tc>
      </w:tr>
      <w:tr w:rsidR="001A1449" w:rsidRPr="001A1449" w14:paraId="32927CD6" w14:textId="77777777" w:rsidTr="001A1449">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45C85C87" w14:textId="77777777" w:rsidR="001A1449" w:rsidRPr="001A1449" w:rsidRDefault="001A1449" w:rsidP="001A1449">
            <w:pPr>
              <w:jc w:val="both"/>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2. Bienes e intereses asegurados</w:t>
            </w:r>
          </w:p>
        </w:tc>
      </w:tr>
      <w:tr w:rsidR="001A1449" w:rsidRPr="001A1449" w14:paraId="03C6423A" w14:textId="77777777" w:rsidTr="001A1449">
        <w:trPr>
          <w:trHeight w:val="124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CBF6C2" w14:textId="70A806C8" w:rsidR="001A1449" w:rsidRPr="001A1449" w:rsidRDefault="001A1449" w:rsidP="001A1449">
            <w:pPr>
              <w:jc w:val="both"/>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Todo el parque automotor, de servicio oficial, particular y público, según relación anexa y el valor asegurado indicado en la misma.  Incluyendo accesorios de los vehículos.</w:t>
            </w:r>
            <w:r w:rsidRPr="001A1449">
              <w:rPr>
                <w:rFonts w:ascii="Arial" w:eastAsia="Times New Roman" w:hAnsi="Arial" w:cs="Arial"/>
                <w:sz w:val="20"/>
                <w:szCs w:val="20"/>
                <w:lang w:val="es-MX" w:eastAsia="es-MX"/>
              </w:rPr>
              <w:br/>
            </w:r>
            <w:r w:rsidRPr="001A1449">
              <w:rPr>
                <w:rFonts w:ascii="Arial" w:eastAsia="Times New Roman" w:hAnsi="Arial" w:cs="Arial"/>
                <w:b/>
                <w:bCs/>
                <w:sz w:val="20"/>
                <w:szCs w:val="20"/>
                <w:lang w:val="es-MX" w:eastAsia="es-MX"/>
              </w:rPr>
              <w:t>VALOR ASEGURADO; SEGÚN VALORES FASECOLDA.                                                                                                                        VER ANEXO N° 2</w:t>
            </w:r>
          </w:p>
        </w:tc>
      </w:tr>
      <w:tr w:rsidR="001A1449" w:rsidRPr="001A1449" w14:paraId="331D0748" w14:textId="77777777" w:rsidTr="001A1449">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67E76510"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3. Coberturas</w:t>
            </w:r>
          </w:p>
        </w:tc>
      </w:tr>
      <w:tr w:rsidR="001A1449" w:rsidRPr="001A1449" w14:paraId="3BE2B5FA"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AD2148"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Para aquellas cláusulas y/o condiciones adicionales para las que no se indique sublímite se entenderá que estas operan al 100%.</w:t>
            </w:r>
          </w:p>
        </w:tc>
      </w:tr>
      <w:tr w:rsidR="001A1449" w:rsidRPr="001A1449" w14:paraId="61E8E958" w14:textId="77777777" w:rsidTr="001A1449">
        <w:trPr>
          <w:trHeight w:val="2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C042D"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COBERTURAS BÁSICAS</w:t>
            </w:r>
          </w:p>
        </w:tc>
      </w:tr>
      <w:tr w:rsidR="001A1449" w:rsidRPr="001A1449" w14:paraId="7DB83766"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CBB3F"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 xml:space="preserve">Pérdida Total por Daños </w:t>
            </w:r>
          </w:p>
        </w:tc>
      </w:tr>
      <w:tr w:rsidR="001A1449" w:rsidRPr="001A1449" w14:paraId="67575F60"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24A41"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Pérdida Parcial por Daños</w:t>
            </w:r>
          </w:p>
        </w:tc>
      </w:tr>
      <w:tr w:rsidR="001A1449" w:rsidRPr="001A1449" w14:paraId="08019B01"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2D5D2"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 xml:space="preserve">Pérdida Parcial o Total por Hurto o Hurto Calificado </w:t>
            </w:r>
          </w:p>
        </w:tc>
      </w:tr>
      <w:tr w:rsidR="001A1449" w:rsidRPr="001A1449" w14:paraId="76775DFD"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A4344E"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Terremoto, Temblor y/o Erupción Volcánica y/o eventos de la naturaleza</w:t>
            </w:r>
          </w:p>
        </w:tc>
      </w:tr>
      <w:tr w:rsidR="001A1449" w:rsidRPr="001A1449" w14:paraId="0F1AEEFA"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DA1F4"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Responsabilidad Civil Extracontractual, incluyendo perjuicios extrapatrimoniales y lucro cesante.</w:t>
            </w:r>
          </w:p>
        </w:tc>
      </w:tr>
      <w:tr w:rsidR="001A1449" w:rsidRPr="001A1449" w14:paraId="3E207884"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E9E6D"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Amparo patrimonial</w:t>
            </w:r>
          </w:p>
        </w:tc>
      </w:tr>
      <w:tr w:rsidR="001A1449" w:rsidRPr="001A1449" w14:paraId="1421E805"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BC2D47"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Asistencia en Viajes 24 horas incluyendo perímetro urbano para automóviles y camionetas</w:t>
            </w:r>
          </w:p>
        </w:tc>
      </w:tr>
      <w:tr w:rsidR="001A1449" w:rsidRPr="001A1449" w14:paraId="5C8C8292"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CEB898"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Asistencia Jurídica en proceso civil, penal, de reparación directa  y administrativo (se incluye los procesos contravencionales)</w:t>
            </w:r>
          </w:p>
        </w:tc>
      </w:tr>
      <w:tr w:rsidR="001A1449" w:rsidRPr="001A1449" w14:paraId="07A4F483"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A15D9"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Casa Cárcel hasta 40 SMDLV</w:t>
            </w:r>
          </w:p>
        </w:tc>
      </w:tr>
      <w:tr w:rsidR="001A1449" w:rsidRPr="001A1449" w14:paraId="157BA537" w14:textId="77777777" w:rsidTr="001A1449">
        <w:trPr>
          <w:trHeight w:val="48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4EE6D"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 xml:space="preserve">Gastos de transporte por pérdidas totales por daños o por hurto, hasta por 60 días con un límite diario de $32.000, se aclarar que no aplica para vehículos </w:t>
            </w:r>
          </w:p>
        </w:tc>
      </w:tr>
      <w:tr w:rsidR="001A1449" w:rsidRPr="001A1449" w14:paraId="50C9E423"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DEBBF"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Gastos de grúa, transporte y protección al vehículo. Excluye Motos</w:t>
            </w:r>
          </w:p>
        </w:tc>
      </w:tr>
      <w:tr w:rsidR="001A1449" w:rsidRPr="001A1449" w14:paraId="173F94FA" w14:textId="77777777" w:rsidTr="001A1449">
        <w:trPr>
          <w:trHeight w:val="255"/>
        </w:trPr>
        <w:tc>
          <w:tcPr>
            <w:tcW w:w="0" w:type="auto"/>
            <w:tcBorders>
              <w:top w:val="nil"/>
              <w:left w:val="single" w:sz="4" w:space="0" w:color="auto"/>
              <w:bottom w:val="single" w:sz="4" w:space="0" w:color="auto"/>
              <w:right w:val="nil"/>
            </w:tcBorders>
            <w:vAlign w:val="center"/>
            <w:hideMark/>
          </w:tcPr>
          <w:p w14:paraId="6C42062D"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Auxilio de paralizacion (solo aplica para pesados). Hasta $3,000,000 máximo 30 días</w:t>
            </w:r>
          </w:p>
        </w:tc>
        <w:tc>
          <w:tcPr>
            <w:tcW w:w="0" w:type="auto"/>
            <w:tcBorders>
              <w:top w:val="nil"/>
              <w:left w:val="nil"/>
              <w:bottom w:val="single" w:sz="4" w:space="0" w:color="auto"/>
              <w:right w:val="single" w:sz="4" w:space="0" w:color="auto"/>
            </w:tcBorders>
            <w:vAlign w:val="center"/>
            <w:hideMark/>
          </w:tcPr>
          <w:p w14:paraId="3BF3E907"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 </w:t>
            </w:r>
          </w:p>
        </w:tc>
      </w:tr>
      <w:tr w:rsidR="001A1449" w:rsidRPr="001A1449" w14:paraId="0BF348D4" w14:textId="77777777" w:rsidTr="001A1449">
        <w:trPr>
          <w:trHeight w:val="61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2EFB7"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Huelga, Motin, Asonada, Conmoción Civil o Popular, explosión, terrorismo (Amit), movimientos subersivos o, en general, conmociones populares de cualquier clase.</w:t>
            </w:r>
          </w:p>
        </w:tc>
      </w:tr>
      <w:tr w:rsidR="001A1449" w:rsidRPr="001A1449" w14:paraId="49F816CF" w14:textId="77777777" w:rsidTr="001A1449">
        <w:trPr>
          <w:trHeight w:val="75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0F3D9E8C"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4. Límites Asegurados Amparo Responsabilidad Civil Extracontractual: perjuicios patrimoniales y extrapatrimoniales incluyendo lucro cesante.</w:t>
            </w:r>
          </w:p>
        </w:tc>
      </w:tr>
      <w:tr w:rsidR="001A1449" w:rsidRPr="001A1449" w14:paraId="21DDA8CB"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D8FD4A5"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Vehículos:</w:t>
            </w:r>
          </w:p>
        </w:tc>
      </w:tr>
      <w:tr w:rsidR="001A1449" w:rsidRPr="001A1449" w14:paraId="74874615"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FA127F8"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Daños a Bienes de Terceros: $800.000.000</w:t>
            </w:r>
          </w:p>
        </w:tc>
      </w:tr>
      <w:tr w:rsidR="001A1449" w:rsidRPr="001A1449" w14:paraId="6BEDA9D0"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498908A"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lastRenderedPageBreak/>
              <w:t>Muerte o Lesiones a una persona: $800.000.000</w:t>
            </w:r>
          </w:p>
        </w:tc>
      </w:tr>
      <w:tr w:rsidR="001A1449" w:rsidRPr="001A1449" w14:paraId="525E27E1"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7988CCC"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Muerte o Lesiones a dos o más Personas: $1.600.000.000</w:t>
            </w:r>
          </w:p>
        </w:tc>
      </w:tr>
      <w:tr w:rsidR="001A1449" w:rsidRPr="001A1449" w14:paraId="2C8D6877"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12CBE4E"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Se permite presentar un límite único combinado de $2.400,000,000</w:t>
            </w:r>
          </w:p>
        </w:tc>
      </w:tr>
      <w:tr w:rsidR="001A1449" w:rsidRPr="001A1449" w14:paraId="7937CAA7"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7ED6490"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Motos:</w:t>
            </w:r>
          </w:p>
        </w:tc>
      </w:tr>
      <w:tr w:rsidR="001A1449" w:rsidRPr="001A1449" w14:paraId="2F452B2C"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C666532"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Daños a Bienes de Terceros: $150.000.000</w:t>
            </w:r>
          </w:p>
        </w:tc>
      </w:tr>
      <w:tr w:rsidR="001A1449" w:rsidRPr="001A1449" w14:paraId="14DCD9AD"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B960224"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Muerte o Lesiones a una persona: $150.000.000</w:t>
            </w:r>
          </w:p>
        </w:tc>
      </w:tr>
      <w:tr w:rsidR="001A1449" w:rsidRPr="001A1449" w14:paraId="08BBFFFC"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79776F8"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Muerte o Lesiones a dos o más Personas: $200.000.000</w:t>
            </w:r>
          </w:p>
        </w:tc>
      </w:tr>
      <w:tr w:rsidR="001A1449" w:rsidRPr="001A1449" w14:paraId="5FC342AE" w14:textId="77777777" w:rsidTr="001A1449">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F580BA3"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Se permite presentar un límite único combinado de $350,000,000</w:t>
            </w:r>
          </w:p>
        </w:tc>
      </w:tr>
      <w:tr w:rsidR="001A1449" w:rsidRPr="001A1449" w14:paraId="58F046C9" w14:textId="77777777" w:rsidTr="001A1449">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60E1FE93"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5. Valor asegurado</w:t>
            </w:r>
          </w:p>
        </w:tc>
      </w:tr>
      <w:tr w:rsidR="001A1449" w:rsidRPr="001A1449" w14:paraId="4E6A4686" w14:textId="77777777" w:rsidTr="001A1449">
        <w:trPr>
          <w:trHeight w:val="78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D870C1" w14:textId="77777777" w:rsidR="001A1449" w:rsidRPr="001A1449" w:rsidRDefault="001A1449" w:rsidP="001A1449">
            <w:pPr>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El valor asegurado para el inicio de la poliza, para efectos de la indemnización  de pérdidas totales se tendrá en cuenta el valor de la guía de FASECOLDA, más el valor de los accesorios, más el valor del blindaje en caso de poseerlo o como opción la reposición del vehículo</w:t>
            </w:r>
          </w:p>
        </w:tc>
      </w:tr>
      <w:tr w:rsidR="001A1449" w:rsidRPr="001A1449" w14:paraId="197078AA" w14:textId="77777777" w:rsidTr="001A1449">
        <w:trPr>
          <w:trHeight w:val="405"/>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5E20552D"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6. Cláusulas y/o condiciones adicionales.</w:t>
            </w:r>
          </w:p>
        </w:tc>
      </w:tr>
      <w:tr w:rsidR="001A1449" w:rsidRPr="001A1449" w14:paraId="2F7F3E54" w14:textId="77777777" w:rsidTr="001A1449">
        <w:trPr>
          <w:trHeight w:val="67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1D905" w14:textId="77777777" w:rsidR="001A1449" w:rsidRPr="001A1449" w:rsidRDefault="001A1449" w:rsidP="001A1449">
            <w:pPr>
              <w:jc w:val="both"/>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Para aquellas cláusulas y/o condiciones adicionales para las que no se indique sublímite se entenderá que estas operan al 100%.</w:t>
            </w:r>
          </w:p>
        </w:tc>
      </w:tr>
      <w:tr w:rsidR="001A1449" w:rsidRPr="001A1449" w14:paraId="3583AB4E" w14:textId="77777777" w:rsidTr="001A1449">
        <w:trPr>
          <w:trHeight w:val="525"/>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3F86E81E"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La póliza no tendrá aplicación de deducibles en ninguno de los amparos contratados</w:t>
            </w:r>
          </w:p>
        </w:tc>
      </w:tr>
      <w:tr w:rsidR="001A1449" w:rsidRPr="001A1449" w14:paraId="62A49CDA" w14:textId="77777777" w:rsidTr="001A1449">
        <w:trPr>
          <w:trHeight w:val="184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4F921A" w14:textId="252664CC"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Cláusula de aplicación de condiciones particulares.</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Queda expresamente acordado y convenido, que la Compañía acepta las condiciones básicas técnicas establecidas en este anexo en los términos señalados en el mismo; por lo tanto, en caso de existir discrepancia entre los ofrecimientos contenidos en las CONDICIONES BÁSICAS TÉCNICAS HABILITANTES frente a la propuesta, los textos de los ejemplares de las pólizas, certificados, anexos o cualquier otro documento; prevalecerá la información y condiciones enunciadas en las CONDICIONES BÁSICAS TÉCNICAS HABILITANTES establecidas.</w:t>
            </w:r>
          </w:p>
        </w:tc>
      </w:tr>
      <w:tr w:rsidR="001A1449" w:rsidRPr="001A1449" w14:paraId="1B2D3308" w14:textId="77777777" w:rsidTr="001A1449">
        <w:trPr>
          <w:trHeight w:val="126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2233E1"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Actos de autoridad</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La póliza cubre los daños o pérdidas materiales de los vehículos asegurados, causados directamente por la acción de la autoridad legalmente constituida, ejercida con el fin de disminuir o aminorar las consecuencias de cualquiera de los riesgos amparados por esta póliza</w:t>
            </w:r>
          </w:p>
        </w:tc>
      </w:tr>
      <w:tr w:rsidR="001A1449" w:rsidRPr="001A1449" w14:paraId="40E6207B" w14:textId="77777777" w:rsidTr="001A1449">
        <w:trPr>
          <w:trHeight w:val="17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B69C9"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Amparo automático de vehiculos usados. Limite de $200.000,000  y término de ciento veinte (90) días. para aviso. </w:t>
            </w:r>
            <w:r w:rsidRPr="001A1449">
              <w:rPr>
                <w:rFonts w:ascii="Arial" w:eastAsia="Times New Roman" w:hAnsi="Arial" w:cs="Arial"/>
                <w:b/>
                <w:bCs/>
                <w:sz w:val="20"/>
                <w:szCs w:val="20"/>
                <w:lang w:val="es-MX" w:eastAsia="es-MX"/>
              </w:rPr>
              <w:br w:type="page"/>
            </w:r>
            <w:r w:rsidRPr="001A1449">
              <w:rPr>
                <w:rFonts w:ascii="Arial" w:eastAsia="Times New Roman" w:hAnsi="Arial" w:cs="Arial"/>
                <w:sz w:val="20"/>
                <w:szCs w:val="20"/>
                <w:lang w:val="es-MX" w:eastAsia="es-MX"/>
              </w:rPr>
              <w:t>El Oferente debe señalar expresamente, que los vehículos automotores adquiridos o recibidos por la Entidad (excepto vehículos pesados), quedan automáticamente amparados bajo la presente póliza, siempre y cuando se notifique a la compañía dentro de los noventa (90) días siguientes a la fecha de recibo del vehículo y/o éste quede por cuenta del asegurado y/o a la fecha del comprobante de ingreso y/o acta de recibo.</w:t>
            </w:r>
          </w:p>
        </w:tc>
      </w:tr>
      <w:tr w:rsidR="001A1449" w:rsidRPr="001A1449" w14:paraId="5551E4C8" w14:textId="77777777" w:rsidTr="001A1449">
        <w:trPr>
          <w:trHeight w:val="169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778EE11"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Amparo automático de equipos y accesorios hasta el 20% del valor asegurado del vehiculo, con reporte de sesenta (60 ) días. </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Bajo esta cláusula queda establecido, que los equipos adicionales tales como: radios, pasacintas CDS, aires acondicionados, equipos de radio, sonido, transmisión y demás equipos y/o accesorios adicionales o especiales, que sean instalados en los vehículos asegurados, quedan amparados automáticamente con las mismas coberturas contratadas bajo la presente póliza.</w:t>
            </w:r>
          </w:p>
        </w:tc>
      </w:tr>
      <w:tr w:rsidR="001A1449" w:rsidRPr="001A1449" w14:paraId="63B3A538" w14:textId="77777777" w:rsidTr="001A1449">
        <w:trPr>
          <w:trHeight w:val="318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C2A7FE"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lastRenderedPageBreak/>
              <w:t xml:space="preserve">Amparo automatico de vehiculos nuevos   Limite de $200,000,000  y término de sesenta (60) días. para aviso. </w:t>
            </w:r>
            <w:r w:rsidRPr="001A1449">
              <w:rPr>
                <w:rFonts w:ascii="Arial" w:eastAsia="Times New Roman" w:hAnsi="Arial" w:cs="Arial"/>
                <w:sz w:val="20"/>
                <w:szCs w:val="20"/>
                <w:lang w:val="es-MX" w:eastAsia="es-MX"/>
              </w:rPr>
              <w:br/>
              <w:t>El Oferente debe señalar expresamente, que los vehículos automotores adquiridos o recibidos por la Entidad (excepto vehículos pesados), quedan automáticamente amparados bajo la presente póliza, siempre y cuando se notifique a la compañía dentro de los sesenta (60) días siguientes a la fecha de recibo del vehículo y/o éste quede por cuenta del asegurado y/o a la fecha del comprobante de ingreso y/o acta de recibo.</w:t>
            </w:r>
            <w:r w:rsidRPr="001A1449">
              <w:rPr>
                <w:rFonts w:ascii="Arial" w:eastAsia="Times New Roman" w:hAnsi="Arial" w:cs="Arial"/>
                <w:sz w:val="20"/>
                <w:szCs w:val="20"/>
                <w:lang w:val="es-MX" w:eastAsia="es-MX"/>
              </w:rPr>
              <w:br/>
            </w:r>
            <w:r w:rsidRPr="001A1449">
              <w:rPr>
                <w:rFonts w:ascii="Arial" w:eastAsia="Times New Roman" w:hAnsi="Arial" w:cs="Arial"/>
                <w:sz w:val="20"/>
                <w:szCs w:val="20"/>
                <w:lang w:val="es-MX" w:eastAsia="es-MX"/>
              </w:rPr>
              <w:br/>
              <w:t xml:space="preserve">Para los casos en que la aseguradora requiera llevar a cabo la inspección del vehículo, ésta será llevada a cabo por la compañía en el sitio, fecha y hora en que indique  </w:t>
            </w:r>
            <w:r w:rsidRPr="001A1449">
              <w:rPr>
                <w:rFonts w:ascii="Arial" w:eastAsia="Times New Roman" w:hAnsi="Arial" w:cs="Arial"/>
                <w:b/>
                <w:bCs/>
                <w:sz w:val="20"/>
                <w:szCs w:val="20"/>
                <w:lang w:val="es-MX" w:eastAsia="es-MX"/>
              </w:rPr>
              <w:t>la Entidad</w:t>
            </w:r>
            <w:r w:rsidRPr="001A1449">
              <w:rPr>
                <w:rFonts w:ascii="Arial" w:eastAsia="Times New Roman" w:hAnsi="Arial" w:cs="Arial"/>
                <w:sz w:val="20"/>
                <w:szCs w:val="20"/>
                <w:lang w:val="es-MX" w:eastAsia="es-MX"/>
              </w:rPr>
              <w:br/>
            </w:r>
            <w:r w:rsidRPr="001A1449">
              <w:rPr>
                <w:rFonts w:ascii="Arial" w:eastAsia="Times New Roman" w:hAnsi="Arial" w:cs="Arial"/>
                <w:sz w:val="20"/>
                <w:szCs w:val="20"/>
                <w:lang w:val="es-MX" w:eastAsia="es-MX"/>
              </w:rPr>
              <w:br/>
              <w:t>En los sitios donde no haya oficina de la aseguradora, la compañía deberá desplazar al funcionario o inspector que lleve a cabo la respectiva inspección y verificación de datos del automotor.</w:t>
            </w:r>
          </w:p>
        </w:tc>
      </w:tr>
      <w:tr w:rsidR="001A1449" w:rsidRPr="001A1449" w14:paraId="21B0F823" w14:textId="77777777" w:rsidTr="001A1449">
        <w:trPr>
          <w:trHeight w:val="60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DD64F66"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Amparo automático de vehículos omitidos en la relación inicial, incluidos los accesorios, con sesenta de 60 dìas. Se sublimita a $200.000.000 </w:t>
            </w:r>
          </w:p>
        </w:tc>
      </w:tr>
      <w:tr w:rsidR="001A1449" w:rsidRPr="001A1449" w14:paraId="422496B5" w14:textId="77777777" w:rsidTr="001A1449">
        <w:trPr>
          <w:trHeight w:val="1320"/>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D2C28C4"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Ampliación del plazo para aviso de siniestro. </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El Asegurado notificará todos los siniestros por vía telefónica, o por mensaje de telefax  o e -mail lo más pronto posible con no más de sesenta (60) días posteriores al conocimiento del incidente, pérdida o daño que pueda tener relación con este seguro</w:t>
            </w:r>
          </w:p>
        </w:tc>
      </w:tr>
      <w:tr w:rsidR="001A1449" w:rsidRPr="001A1449" w14:paraId="44028949" w14:textId="77777777" w:rsidTr="001A1449">
        <w:trPr>
          <w:trHeight w:val="1845"/>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0B67DBE"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Ampliación del plazo para aviso de revocación de la póliza:</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 xml:space="preserve">El Oferente debe contemplar bajo esta cláusula que la póliza podrá ser revocada unilateralmente por la compañía, mediante noticia escrita certificada enviada al asegurado a su última dirección registrada, con una anticipación no menor de  noventa (90) días; para la cobertura de AMIT Y AMCCOPH el aviso deberá producirse con una anticipación no menor a diez (10) días calendario. Los días de anticipación del aviso serán contados en juntos casos a partir de la fecha de recepción por parte del Asegurado de la noticia escrita certificada. </w:t>
            </w:r>
          </w:p>
        </w:tc>
      </w:tr>
      <w:tr w:rsidR="001A1449" w:rsidRPr="001A1449" w14:paraId="77E60231" w14:textId="77777777" w:rsidTr="001A1449">
        <w:trPr>
          <w:trHeight w:val="54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599641"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Ampliación del radio de operaciones para el amparo en los países del Pacto Andino, excluye Venezuela.</w:t>
            </w:r>
          </w:p>
        </w:tc>
      </w:tr>
      <w:tr w:rsidR="001A1449" w:rsidRPr="001A1449" w14:paraId="682DBB20" w14:textId="77777777" w:rsidTr="001A1449">
        <w:trPr>
          <w:trHeight w:val="166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EF160C"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Autorización de reparaciones en caso de siniestro en concesionarios especializados y autorizados según la marca del vehículo afectado incluyendo las autorizaciones en talleres con los cuales la entidad tenga contratos de mantenimiento de vehiculos y pertenezcan a la red de talleres de la compañía.  Se enviarán a concesionario los vehículos que estén en un rango de 3 últimos años de antigüedad, los demás serán remitidos a talleres especializados</w:t>
            </w:r>
          </w:p>
        </w:tc>
      </w:tr>
      <w:tr w:rsidR="001A1449" w:rsidRPr="001A1449" w14:paraId="251BB276" w14:textId="77777777" w:rsidTr="001A1449">
        <w:trPr>
          <w:trHeight w:val="49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70A2A0"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Clásula de 72 horas para terremoto</w:t>
            </w:r>
          </w:p>
        </w:tc>
      </w:tr>
      <w:tr w:rsidR="001A1449" w:rsidRPr="001A1449" w14:paraId="7EFE307D" w14:textId="77777777" w:rsidTr="001A1449">
        <w:trPr>
          <w:trHeight w:val="11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186597"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Conocimiento del riesgo</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 xml:space="preserve">Mediante la presente clausula, los oferentes aceptan que </w:t>
            </w:r>
            <w:r w:rsidRPr="001A1449">
              <w:rPr>
                <w:rFonts w:ascii="Arial" w:eastAsia="Times New Roman" w:hAnsi="Arial" w:cs="Arial"/>
                <w:b/>
                <w:bCs/>
                <w:sz w:val="20"/>
                <w:szCs w:val="20"/>
                <w:lang w:val="es-MX" w:eastAsia="es-MX"/>
              </w:rPr>
              <w:t>la Entidad</w:t>
            </w:r>
            <w:r w:rsidRPr="001A1449">
              <w:rPr>
                <w:rFonts w:ascii="Arial" w:eastAsia="Times New Roman" w:hAnsi="Arial" w:cs="Arial"/>
                <w:sz w:val="20"/>
                <w:szCs w:val="20"/>
                <w:lang w:val="es-MX" w:eastAsia="es-MX"/>
              </w:rPr>
              <w:t xml:space="preserve">, les ha brindado la oportunidad para realizar la inspección de los bienes y riesgos a que están sujetos los mismos y el patrimonio del Asegurado, razón por la cual se deja constancia del conocimiento y aceptación de los hechos, circunstancias y, en general, condiciones de los mismos. </w:t>
            </w:r>
          </w:p>
        </w:tc>
      </w:tr>
      <w:tr w:rsidR="001A1449" w:rsidRPr="001A1449" w14:paraId="57129E94" w14:textId="77777777" w:rsidTr="001A1449">
        <w:trPr>
          <w:trHeight w:val="52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71521"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Continuidad de amparo y no inspección para los vehículos actualmente asegurados relacionados en la flota, SALVO LOS QUE PRESENTEN SINIESTROS.</w:t>
            </w:r>
          </w:p>
        </w:tc>
      </w:tr>
      <w:tr w:rsidR="001A1449" w:rsidRPr="001A1449" w14:paraId="2A760A99" w14:textId="77777777" w:rsidTr="001A1449">
        <w:trPr>
          <w:trHeight w:val="189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5A7CE5"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lastRenderedPageBreak/>
              <w:t>Derechos sobre salvamento.</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En el evento que se recobre alguna suma proveniente de la venta de salvamentos respecto de cualquier pérdida indemnizada por la compañía, el asegurado participará de tal recuperación en la suma en la proporción en que hubiese participado de la pérdida, teniendo en cuenta el deducible y el infraseguro, cuando hubiesen lugar a ellos. Se entiende por salvamento neto el valor resultante de descontar del valor de venta del mismo, los gastos realizados por la compañía para su recuperación y comercialización, excluyendo los gastos administrativos de la misma.</w:t>
            </w:r>
          </w:p>
        </w:tc>
      </w:tr>
      <w:tr w:rsidR="001A1449" w:rsidRPr="001A1449" w14:paraId="39236F61" w14:textId="77777777" w:rsidTr="001A1449">
        <w:trPr>
          <w:trHeight w:val="91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16C46"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Para los vehiculos Livianos, cobertura de reemplazo para proveer vehículo sustituto en los casos de siniestro por pérdidas parciales por daños o hurto. </w:t>
            </w:r>
            <w:r w:rsidRPr="001A1449">
              <w:rPr>
                <w:rFonts w:ascii="Arial" w:eastAsia="Times New Roman" w:hAnsi="Arial" w:cs="Arial"/>
                <w:b/>
                <w:bCs/>
                <w:color w:val="FF0000"/>
                <w:sz w:val="20"/>
                <w:szCs w:val="20"/>
                <w:lang w:val="es-MX" w:eastAsia="es-MX"/>
              </w:rPr>
              <w:t xml:space="preserve"> </w:t>
            </w:r>
          </w:p>
        </w:tc>
      </w:tr>
      <w:tr w:rsidR="001A1449" w:rsidRPr="001A1449" w14:paraId="5A37FD6C" w14:textId="77777777" w:rsidTr="001A1449">
        <w:trPr>
          <w:trHeight w:val="88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74ADB0"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Gastos por traspaso por pérdida total de vehículos. 100% de gastos incurridos por vehículo como anticipo de la indemnización.</w:t>
            </w:r>
          </w:p>
        </w:tc>
      </w:tr>
      <w:tr w:rsidR="001A1449" w:rsidRPr="001A1449" w14:paraId="32CD5348" w14:textId="77777777" w:rsidTr="001A1449">
        <w:trPr>
          <w:trHeight w:val="100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01F2D3"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Designación de Ajustadores.</w:t>
            </w:r>
            <w:r w:rsidRPr="001A1449">
              <w:rPr>
                <w:rFonts w:ascii="Arial" w:eastAsia="Times New Roman" w:hAnsi="Arial" w:cs="Arial"/>
                <w:b/>
                <w:bCs/>
                <w:sz w:val="20"/>
                <w:szCs w:val="20"/>
                <w:lang w:val="es-MX" w:eastAsia="es-MX"/>
              </w:rPr>
              <w:br w:type="page"/>
            </w:r>
            <w:r w:rsidRPr="001A1449">
              <w:rPr>
                <w:rFonts w:ascii="Arial" w:eastAsia="Times New Roman" w:hAnsi="Arial" w:cs="Arial"/>
                <w:sz w:val="20"/>
                <w:szCs w:val="20"/>
                <w:lang w:val="es-MX" w:eastAsia="es-MX"/>
              </w:rPr>
              <w:t>El Oferente debe contemplar en la propuesta, que la designación de los ajustadores se realizará de común acuerdo entre la aseguradora y el asegurado.</w:t>
            </w:r>
          </w:p>
        </w:tc>
      </w:tr>
      <w:tr w:rsidR="001A1449" w:rsidRPr="001A1449" w14:paraId="5AF9EFFF" w14:textId="77777777" w:rsidTr="001A1449">
        <w:trPr>
          <w:trHeight w:val="1545"/>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00C7B4"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Inexistencia de partes en el mercado. </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Debe contemplarse bajo esta cláusula que la Aseguradora acepta expresamente que en caso de que las partes, piezas o accesorios necesarios para una reparación o reemplazo, no se encontraren en el comercio local de repuestos, la compañía adelantará los trámites necesarios ante el almacén, la distribuidora y/o representante en Colombia para obtener la importación de los mismos; de no ser de facil consecución pagará al asegurado el valor de las mismas según el último precio de lista, o a falta de esta, del almacén que mas recientemente la hubiera tenido.</w:t>
            </w:r>
          </w:p>
        </w:tc>
      </w:tr>
      <w:tr w:rsidR="001A1449" w:rsidRPr="001A1449" w14:paraId="59D7A1A8" w14:textId="77777777" w:rsidTr="001A1449">
        <w:trPr>
          <w:trHeight w:val="799"/>
        </w:trPr>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78FEE6"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No inspección de vehículos nuevos, de los cuales la Entidad entregará a la Compañía copia de la matricula, factura e improntas del vehículo)  No inspección de  vehículos actualmente asegurados.</w:t>
            </w:r>
          </w:p>
        </w:tc>
      </w:tr>
      <w:tr w:rsidR="001A1449" w:rsidRPr="001A1449" w14:paraId="7BE9A731" w14:textId="77777777" w:rsidTr="001A1449">
        <w:trPr>
          <w:trHeight w:val="51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619DA5"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Opción de reposición del vehículo y no indemnización en dinero a conveniencia del asegurado, para pérdidas totales</w:t>
            </w:r>
          </w:p>
        </w:tc>
      </w:tr>
      <w:tr w:rsidR="001A1449" w:rsidRPr="001A1449" w14:paraId="5A73CCC8" w14:textId="77777777" w:rsidTr="001A1449">
        <w:trPr>
          <w:trHeight w:val="240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C0045A"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 xml:space="preserve">Primera opción de compra del vehículo recuperado </w:t>
            </w:r>
            <w:r w:rsidRPr="001A1449">
              <w:rPr>
                <w:rFonts w:ascii="Arial" w:eastAsia="Times New Roman" w:hAnsi="Arial" w:cs="Arial"/>
                <w:b/>
                <w:bCs/>
                <w:sz w:val="20"/>
                <w:szCs w:val="20"/>
                <w:lang w:val="es-MX" w:eastAsia="es-MX"/>
              </w:rPr>
              <w:br/>
            </w:r>
            <w:r w:rsidRPr="001A1449">
              <w:rPr>
                <w:rFonts w:ascii="Arial" w:eastAsia="Times New Roman" w:hAnsi="Arial" w:cs="Arial"/>
                <w:sz w:val="20"/>
                <w:szCs w:val="20"/>
                <w:lang w:val="es-MX" w:eastAsia="es-MX"/>
              </w:rPr>
              <w:t>Debe contemplarse bajo esta cláusula que la Aseguradora se obliga a comunicar por escrito al asegurado en toda oportunidad a que haya lugar a la aplicación de esta cláusula, concediéndole a éste un plazo de treinta días para que le informe si hará uso de tal opción o no.</w:t>
            </w:r>
            <w:r w:rsidRPr="001A1449">
              <w:rPr>
                <w:rFonts w:ascii="Arial" w:eastAsia="Times New Roman" w:hAnsi="Arial" w:cs="Arial"/>
                <w:sz w:val="20"/>
                <w:szCs w:val="20"/>
                <w:lang w:val="es-MX" w:eastAsia="es-MX"/>
              </w:rPr>
              <w:br/>
              <w:t>Si no se llega a un acuerdo entre el asegurado y la compañía por la compra del salvamento, la compañía quedará en libertad de disponer de él a su entera voluntad.</w:t>
            </w:r>
            <w:r w:rsidRPr="001A1449">
              <w:rPr>
                <w:rFonts w:ascii="Arial" w:eastAsia="Times New Roman" w:hAnsi="Arial" w:cs="Arial"/>
                <w:sz w:val="20"/>
                <w:szCs w:val="20"/>
                <w:lang w:val="es-MX" w:eastAsia="es-MX"/>
              </w:rPr>
              <w:br/>
              <w:t>Sobre los salvamentos provenientes de indemnizaciones que afecten al amparo de pérdida total por daños y de la recuperación de cualquier vehículo asegurado que haya sido indemnizado por el amparo de hurto o hurto calificado, se concede al asegurado la primera opción de compra sobre dicho salvamento.</w:t>
            </w:r>
          </w:p>
        </w:tc>
      </w:tr>
      <w:tr w:rsidR="001A1449" w:rsidRPr="001A1449" w14:paraId="0CBD202A" w14:textId="77777777" w:rsidTr="001A1449">
        <w:trPr>
          <w:trHeight w:val="84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83F790"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t>Restablecimiento automatico del valor asegurado por pago de siniestro con cobro de prima adicional, únicamente para el amparo de responsabilidad civil extracontractual.</w:t>
            </w:r>
          </w:p>
        </w:tc>
      </w:tr>
      <w:tr w:rsidR="001A1449" w:rsidRPr="001A1449" w14:paraId="43D3049E" w14:textId="77777777" w:rsidTr="001A1449">
        <w:trPr>
          <w:trHeight w:val="1020"/>
        </w:trPr>
        <w:tc>
          <w:tcPr>
            <w:tcW w:w="0" w:type="auto"/>
            <w:gridSpan w:val="2"/>
            <w:tcBorders>
              <w:top w:val="single" w:sz="4" w:space="0" w:color="auto"/>
              <w:left w:val="single" w:sz="4" w:space="0" w:color="auto"/>
              <w:bottom w:val="single" w:sz="4" w:space="0" w:color="auto"/>
              <w:right w:val="single" w:sz="4" w:space="0" w:color="000000"/>
            </w:tcBorders>
            <w:vAlign w:val="center"/>
            <w:hideMark/>
          </w:tcPr>
          <w:p w14:paraId="4E879E5C" w14:textId="2D43B25C" w:rsidR="001A1449" w:rsidRPr="001A1449" w:rsidRDefault="009803A0" w:rsidP="001A1449">
            <w:pPr>
              <w:rPr>
                <w:rFonts w:ascii="Arial" w:eastAsia="Times New Roman" w:hAnsi="Arial" w:cs="Arial"/>
                <w:b/>
                <w:bCs/>
                <w:sz w:val="20"/>
                <w:szCs w:val="20"/>
                <w:lang w:val="es-MX" w:eastAsia="es-MX"/>
              </w:rPr>
            </w:pPr>
            <w:r>
              <w:rPr>
                <w:rFonts w:ascii="Arial" w:eastAsia="Times New Roman" w:hAnsi="Arial" w:cs="Arial"/>
                <w:b/>
                <w:bCs/>
                <w:sz w:val="20"/>
                <w:szCs w:val="20"/>
                <w:lang w:val="es-MX" w:eastAsia="es-MX"/>
              </w:rPr>
              <w:t>INSPECCIÓN</w:t>
            </w:r>
            <w:r w:rsidR="00721965">
              <w:rPr>
                <w:rFonts w:ascii="Arial" w:eastAsia="Times New Roman" w:hAnsi="Arial" w:cs="Arial"/>
                <w:b/>
                <w:bCs/>
                <w:sz w:val="20"/>
                <w:szCs w:val="20"/>
                <w:lang w:val="es-MX" w:eastAsia="es-MX"/>
              </w:rPr>
              <w:t xml:space="preserve"> DE VEHICULOS</w:t>
            </w:r>
            <w:r w:rsidR="001B5C1A">
              <w:rPr>
                <w:rFonts w:ascii="Arial" w:eastAsia="Times New Roman" w:hAnsi="Arial" w:cs="Arial"/>
                <w:b/>
                <w:bCs/>
                <w:sz w:val="20"/>
                <w:szCs w:val="20"/>
                <w:lang w:val="es-MX" w:eastAsia="es-MX"/>
              </w:rPr>
              <w:t xml:space="preserve">: </w:t>
            </w:r>
            <w:r w:rsidR="00721965">
              <w:rPr>
                <w:rFonts w:ascii="Arial" w:eastAsia="Times New Roman" w:hAnsi="Arial" w:cs="Arial"/>
                <w:b/>
                <w:bCs/>
                <w:sz w:val="20"/>
                <w:szCs w:val="20"/>
                <w:lang w:val="es-MX" w:eastAsia="es-MX"/>
              </w:rPr>
              <w:t xml:space="preserve">no será requisito </w:t>
            </w:r>
            <w:r w:rsidR="001B5C1A">
              <w:rPr>
                <w:rFonts w:ascii="Arial" w:eastAsia="Times New Roman" w:hAnsi="Arial" w:cs="Arial"/>
                <w:b/>
                <w:bCs/>
                <w:sz w:val="20"/>
                <w:szCs w:val="20"/>
                <w:lang w:val="es-MX" w:eastAsia="es-MX"/>
              </w:rPr>
              <w:t>inspeccionar el parque automotor</w:t>
            </w:r>
            <w:r w:rsidR="00721965">
              <w:rPr>
                <w:rFonts w:ascii="Arial" w:eastAsia="Times New Roman" w:hAnsi="Arial" w:cs="Arial"/>
                <w:b/>
                <w:bCs/>
                <w:sz w:val="20"/>
                <w:szCs w:val="20"/>
                <w:lang w:val="es-MX" w:eastAsia="es-MX"/>
              </w:rPr>
              <w:t xml:space="preserve"> para la expedicion de la poliza.</w:t>
            </w:r>
          </w:p>
        </w:tc>
      </w:tr>
      <w:tr w:rsidR="001A1449" w:rsidRPr="001A1449" w14:paraId="674CA442" w14:textId="77777777" w:rsidTr="001A1449">
        <w:trPr>
          <w:trHeight w:val="63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4E908" w14:textId="77777777" w:rsidR="001A1449" w:rsidRPr="001A1449" w:rsidRDefault="001A1449" w:rsidP="001A1449">
            <w:pPr>
              <w:rPr>
                <w:rFonts w:ascii="Arial" w:eastAsia="Times New Roman" w:hAnsi="Arial" w:cs="Arial"/>
                <w:b/>
                <w:bCs/>
                <w:sz w:val="20"/>
                <w:szCs w:val="20"/>
                <w:lang w:val="es-MX" w:eastAsia="es-MX"/>
              </w:rPr>
            </w:pPr>
            <w:r w:rsidRPr="001A1449">
              <w:rPr>
                <w:rFonts w:ascii="Arial" w:eastAsia="Times New Roman" w:hAnsi="Arial" w:cs="Arial"/>
                <w:b/>
                <w:bCs/>
                <w:sz w:val="20"/>
                <w:szCs w:val="20"/>
                <w:lang w:val="es-MX" w:eastAsia="es-MX"/>
              </w:rPr>
              <w:lastRenderedPageBreak/>
              <w:t>No restricción de amparo ó aplicación de garantías, por tipo, modelo, clase, uso, o antigüedad de los vehículos y accesorios, salvo los que tengan informe de inspección asegurable.</w:t>
            </w:r>
          </w:p>
        </w:tc>
      </w:tr>
      <w:tr w:rsidR="001A1449" w:rsidRPr="001A1449" w14:paraId="5F44AA85" w14:textId="77777777" w:rsidTr="001A1449">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FF0000"/>
            <w:vAlign w:val="center"/>
            <w:hideMark/>
          </w:tcPr>
          <w:p w14:paraId="02465557" w14:textId="77777777" w:rsidR="001A1449" w:rsidRPr="001A1449" w:rsidRDefault="001A1449" w:rsidP="001A1449">
            <w:pPr>
              <w:rPr>
                <w:rFonts w:ascii="Arial" w:eastAsia="Times New Roman" w:hAnsi="Arial" w:cs="Arial"/>
                <w:b/>
                <w:bCs/>
                <w:color w:val="FFFFFF"/>
                <w:sz w:val="20"/>
                <w:szCs w:val="20"/>
                <w:lang w:val="es-MX" w:eastAsia="es-MX"/>
              </w:rPr>
            </w:pPr>
            <w:r w:rsidRPr="001A1449">
              <w:rPr>
                <w:rFonts w:ascii="Arial" w:eastAsia="Times New Roman" w:hAnsi="Arial" w:cs="Arial"/>
                <w:b/>
                <w:bCs/>
                <w:color w:val="FFFFFF"/>
                <w:sz w:val="20"/>
                <w:szCs w:val="20"/>
                <w:lang w:val="es-MX" w:eastAsia="es-MX"/>
              </w:rPr>
              <w:t>7. Riesgos excluidos</w:t>
            </w:r>
          </w:p>
        </w:tc>
      </w:tr>
      <w:tr w:rsidR="001A1449" w:rsidRPr="001A1449" w14:paraId="27BDED38" w14:textId="77777777" w:rsidTr="001A1449">
        <w:trPr>
          <w:trHeight w:val="1519"/>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4E87D5" w14:textId="396F0E05" w:rsidR="001A1449" w:rsidRPr="001A1449" w:rsidRDefault="001A1449" w:rsidP="001A1449">
            <w:pPr>
              <w:jc w:val="both"/>
              <w:rPr>
                <w:rFonts w:ascii="Arial" w:eastAsia="Times New Roman" w:hAnsi="Arial" w:cs="Arial"/>
                <w:sz w:val="20"/>
                <w:szCs w:val="20"/>
                <w:lang w:val="es-MX" w:eastAsia="es-MX"/>
              </w:rPr>
            </w:pPr>
            <w:r w:rsidRPr="001A1449">
              <w:rPr>
                <w:rFonts w:ascii="Arial" w:eastAsia="Times New Roman" w:hAnsi="Arial" w:cs="Arial"/>
                <w:sz w:val="20"/>
                <w:szCs w:val="20"/>
                <w:lang w:val="es-MX" w:eastAsia="es-MX"/>
              </w:rPr>
              <w:t>En materia de riesgos excluidos la GOBERNACIÓN DE SUCRE acepta únicamente los expresamente mencionados como exclusiones absolutas de cobertura las que figuran en el texto del condicionado general depositado por la Aseguradora en la Superintendencia Financiera con anterioridad no inferior a quince (15) días hábiles al cierre del proceso. Serán válidas las exclusiones relativas consignadas en los mencionados condicionados generales solo cuando no contradigan las condiciones técnicas básicas habilitantes del presente proceso, en cuyo caso prevalecerán las condiciones técnicas básicas habilitantes.</w:t>
            </w:r>
          </w:p>
        </w:tc>
      </w:tr>
    </w:tbl>
    <w:p w14:paraId="6DBB5A4D" w14:textId="77777777" w:rsidR="008B6608" w:rsidRDefault="008B6608" w:rsidP="00B27541">
      <w:pPr>
        <w:jc w:val="both"/>
        <w:rPr>
          <w:rFonts w:ascii="Arial Narrow" w:hAnsi="Arial Narrow" w:cs="Arial"/>
        </w:rPr>
      </w:pPr>
    </w:p>
    <w:p w14:paraId="3630A5AA" w14:textId="77777777" w:rsidR="008B6608" w:rsidRDefault="008B6608" w:rsidP="00B27541">
      <w:pPr>
        <w:jc w:val="both"/>
        <w:rPr>
          <w:rFonts w:ascii="Arial Narrow" w:hAnsi="Arial Narrow" w:cs="Arial"/>
        </w:rPr>
      </w:pPr>
    </w:p>
    <w:sectPr w:rsidR="008B6608" w:rsidSect="00194021">
      <w:headerReference w:type="default" r:id="rId7"/>
      <w:footerReference w:type="even" r:id="rId8"/>
      <w:footerReference w:type="default" r:id="rId9"/>
      <w:footerReference w:type="first" r:id="rId10"/>
      <w:pgSz w:w="12240" w:h="15840" w:code="1"/>
      <w:pgMar w:top="207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18E8B" w14:textId="77777777" w:rsidR="0088594B" w:rsidRDefault="0088594B" w:rsidP="00E85234">
      <w:r>
        <w:separator/>
      </w:r>
    </w:p>
  </w:endnote>
  <w:endnote w:type="continuationSeparator" w:id="0">
    <w:p w14:paraId="765C7333" w14:textId="77777777" w:rsidR="0088594B" w:rsidRDefault="0088594B" w:rsidP="00E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2D8E3" w14:textId="2293A8DB" w:rsidR="00FD7258" w:rsidRDefault="00FD7258">
    <w:pPr>
      <w:pStyle w:val="Piedepgina"/>
    </w:pPr>
    <w:r>
      <w:rPr>
        <w:noProof/>
      </w:rPr>
      <mc:AlternateContent>
        <mc:Choice Requires="wps">
          <w:drawing>
            <wp:anchor distT="0" distB="0" distL="0" distR="0" simplePos="0" relativeHeight="251662336" behindDoc="0" locked="0" layoutInCell="1" allowOverlap="1" wp14:anchorId="15C196C7" wp14:editId="180E6D49">
              <wp:simplePos x="635" y="635"/>
              <wp:positionH relativeFrom="page">
                <wp:align>center</wp:align>
              </wp:positionH>
              <wp:positionV relativeFrom="page">
                <wp:align>bottom</wp:align>
              </wp:positionV>
              <wp:extent cx="1633220" cy="345440"/>
              <wp:effectExtent l="0" t="0" r="5080" b="0"/>
              <wp:wrapNone/>
              <wp:docPr id="943022433" name="Cuadro de texto 2"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504FBF23" w14:textId="1E647004" w:rsidR="00FD7258" w:rsidRPr="00FD7258" w:rsidRDefault="00FD7258" w:rsidP="00FD7258">
                          <w:pPr>
                            <w:rPr>
                              <w:rFonts w:ascii="Calibri" w:eastAsia="Calibri" w:hAnsi="Calibri" w:cs="Calibri"/>
                              <w:noProof/>
                              <w:color w:val="000000"/>
                              <w:sz w:val="20"/>
                              <w:szCs w:val="20"/>
                            </w:rPr>
                          </w:pPr>
                          <w:r w:rsidRPr="00FD7258">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C196C7" id="_x0000_t202" coordsize="21600,21600" o:spt="202" path="m,l,21600r21600,l21600,xe">
              <v:stroke joinstyle="miter"/>
              <v:path gradientshapeok="t" o:connecttype="rect"/>
            </v:shapetype>
            <v:shape id="Cuadro de texto 2" o:spid="_x0000_s1026" type="#_x0000_t202" alt="DOCUMENTO DE USO INTERNO" style="position:absolute;margin-left:0;margin-top:0;width:128.6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" filled="f" stroked="f">
              <v:fill o:detectmouseclick="t"/>
              <v:textbox style="mso-fit-shape-to-text:t" inset="0,0,0,15pt">
                <w:txbxContent>
                  <w:p w14:paraId="504FBF23" w14:textId="1E647004" w:rsidR="00FD7258" w:rsidRPr="00FD7258" w:rsidRDefault="00FD7258" w:rsidP="00FD7258">
                    <w:pPr>
                      <w:rPr>
                        <w:rFonts w:ascii="Calibri" w:eastAsia="Calibri" w:hAnsi="Calibri" w:cs="Calibri"/>
                        <w:noProof/>
                        <w:color w:val="000000"/>
                        <w:sz w:val="20"/>
                        <w:szCs w:val="20"/>
                      </w:rPr>
                    </w:pPr>
                    <w:r w:rsidRPr="00FD7258">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F4A3" w14:textId="376B57F2" w:rsidR="00E85234" w:rsidRDefault="00D05F28">
    <w:pPr>
      <w:pStyle w:val="Piedepgina"/>
    </w:pPr>
    <w:r>
      <w:rPr>
        <w:noProof/>
      </w:rPr>
      <w:drawing>
        <wp:anchor distT="0" distB="0" distL="114300" distR="114300" simplePos="0" relativeHeight="251660288" behindDoc="1" locked="0" layoutInCell="1" allowOverlap="1" wp14:anchorId="4245C6AC" wp14:editId="2C19A86C">
          <wp:simplePos x="0" y="0"/>
          <wp:positionH relativeFrom="margin">
            <wp:align>center</wp:align>
          </wp:positionH>
          <wp:positionV relativeFrom="paragraph">
            <wp:posOffset>-173990</wp:posOffset>
          </wp:positionV>
          <wp:extent cx="6212205" cy="579120"/>
          <wp:effectExtent l="0" t="0" r="0" b="0"/>
          <wp:wrapNone/>
          <wp:docPr id="9589896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2205" cy="579120"/>
                  </a:xfrm>
                  <a:prstGeom prst="rect">
                    <a:avLst/>
                  </a:prstGeom>
                  <a:noFill/>
                </pic:spPr>
              </pic:pic>
            </a:graphicData>
          </a:graphic>
        </wp:anchor>
      </w:drawing>
    </w:r>
    <w:r w:rsidR="00DA5D0C">
      <w:rPr>
        <w:noProof/>
      </w:rPr>
      <w:drawing>
        <wp:anchor distT="0" distB="0" distL="114300" distR="114300" simplePos="0" relativeHeight="251659264" behindDoc="1" locked="0" layoutInCell="1" allowOverlap="1" wp14:anchorId="1A463B66" wp14:editId="032B9D86">
          <wp:simplePos x="0" y="0"/>
          <wp:positionH relativeFrom="page">
            <wp:align>left</wp:align>
          </wp:positionH>
          <wp:positionV relativeFrom="paragraph">
            <wp:posOffset>340360</wp:posOffset>
          </wp:positionV>
          <wp:extent cx="7797165" cy="286385"/>
          <wp:effectExtent l="0" t="0" r="0" b="0"/>
          <wp:wrapNone/>
          <wp:docPr id="21454225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7165" cy="28638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C6D8" w14:textId="212A2E54" w:rsidR="00FD7258" w:rsidRDefault="00FD7258">
    <w:pPr>
      <w:pStyle w:val="Piedepgina"/>
    </w:pPr>
    <w:r>
      <w:rPr>
        <w:noProof/>
      </w:rPr>
      <mc:AlternateContent>
        <mc:Choice Requires="wps">
          <w:drawing>
            <wp:anchor distT="0" distB="0" distL="0" distR="0" simplePos="0" relativeHeight="251661312" behindDoc="0" locked="0" layoutInCell="1" allowOverlap="1" wp14:anchorId="6A4006CF" wp14:editId="48572DCB">
              <wp:simplePos x="635" y="635"/>
              <wp:positionH relativeFrom="page">
                <wp:align>center</wp:align>
              </wp:positionH>
              <wp:positionV relativeFrom="page">
                <wp:align>bottom</wp:align>
              </wp:positionV>
              <wp:extent cx="1633220" cy="345440"/>
              <wp:effectExtent l="0" t="0" r="5080" b="0"/>
              <wp:wrapNone/>
              <wp:docPr id="91171540" name="Cuadro de texto 1" descr="DOCUMENTO DE USO INTERN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3220" cy="345440"/>
                      </a:xfrm>
                      <a:prstGeom prst="rect">
                        <a:avLst/>
                      </a:prstGeom>
                      <a:noFill/>
                      <a:ln>
                        <a:noFill/>
                      </a:ln>
                    </wps:spPr>
                    <wps:txbx>
                      <w:txbxContent>
                        <w:p w14:paraId="7BE62E02" w14:textId="48800DA5" w:rsidR="00FD7258" w:rsidRPr="00FD7258" w:rsidRDefault="00FD7258" w:rsidP="00FD7258">
                          <w:pPr>
                            <w:rPr>
                              <w:rFonts w:ascii="Calibri" w:eastAsia="Calibri" w:hAnsi="Calibri" w:cs="Calibri"/>
                              <w:noProof/>
                              <w:color w:val="000000"/>
                              <w:sz w:val="20"/>
                              <w:szCs w:val="20"/>
                            </w:rPr>
                          </w:pPr>
                          <w:r w:rsidRPr="00FD7258">
                            <w:rPr>
                              <w:rFonts w:ascii="Calibri" w:eastAsia="Calibri" w:hAnsi="Calibri" w:cs="Calibri"/>
                              <w:noProof/>
                              <w:color w:val="000000"/>
                              <w:sz w:val="20"/>
                              <w:szCs w:val="20"/>
                            </w:rPr>
                            <w:t>DOCUMENTO DE USO INTERNO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4006CF" id="_x0000_t202" coordsize="21600,21600" o:spt="202" path="m,l,21600r21600,l21600,xe">
              <v:stroke joinstyle="miter"/>
              <v:path gradientshapeok="t" o:connecttype="rect"/>
            </v:shapetype>
            <v:shape id="Cuadro de texto 1" o:spid="_x0000_s1028" type="#_x0000_t202" alt="DOCUMENTO DE USO INTERNO" style="position:absolute;margin-left:0;margin-top:0;width:128.6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" filled="f" stroked="f">
              <v:fill o:detectmouseclick="t"/>
              <v:textbox style="mso-fit-shape-to-text:t" inset="0,0,0,15pt">
                <w:txbxContent>
                  <w:p w14:paraId="7BE62E02" w14:textId="48800DA5" w:rsidR="00FD7258" w:rsidRPr="00FD7258" w:rsidRDefault="00FD7258" w:rsidP="00FD7258">
                    <w:pPr>
                      <w:rPr>
                        <w:rFonts w:ascii="Calibri" w:eastAsia="Calibri" w:hAnsi="Calibri" w:cs="Calibri"/>
                        <w:noProof/>
                        <w:color w:val="000000"/>
                        <w:sz w:val="20"/>
                        <w:szCs w:val="20"/>
                      </w:rPr>
                    </w:pPr>
                    <w:r w:rsidRPr="00FD7258">
                      <w:rPr>
                        <w:rFonts w:ascii="Calibri" w:eastAsia="Calibri" w:hAnsi="Calibri" w:cs="Calibri"/>
                        <w:noProof/>
                        <w:color w:val="000000"/>
                        <w:sz w:val="20"/>
                        <w:szCs w:val="20"/>
                      </w:rPr>
                      <w:t>DOCUMENTO DE USO INTERNO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CA4D3" w14:textId="77777777" w:rsidR="0088594B" w:rsidRDefault="0088594B" w:rsidP="00E85234">
      <w:r>
        <w:separator/>
      </w:r>
    </w:p>
  </w:footnote>
  <w:footnote w:type="continuationSeparator" w:id="0">
    <w:p w14:paraId="641A6262" w14:textId="77777777" w:rsidR="0088594B" w:rsidRDefault="0088594B" w:rsidP="00E8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A802" w14:textId="702BF621" w:rsidR="00E85234" w:rsidRDefault="006879E4">
    <w:pPr>
      <w:pStyle w:val="Encabezado"/>
    </w:pPr>
    <w:r>
      <w:rPr>
        <w:noProof/>
      </w:rPr>
      <w:drawing>
        <wp:anchor distT="0" distB="0" distL="114300" distR="114300" simplePos="0" relativeHeight="251658240" behindDoc="1" locked="0" layoutInCell="1" allowOverlap="1" wp14:anchorId="1C4B7B2A" wp14:editId="4AB54817">
          <wp:simplePos x="0" y="0"/>
          <wp:positionH relativeFrom="margin">
            <wp:align>center</wp:align>
          </wp:positionH>
          <wp:positionV relativeFrom="paragraph">
            <wp:posOffset>-154305</wp:posOffset>
          </wp:positionV>
          <wp:extent cx="2481580" cy="792480"/>
          <wp:effectExtent l="0" t="0" r="0" b="7620"/>
          <wp:wrapNone/>
          <wp:docPr id="20179527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7924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95F"/>
    <w:multiLevelType w:val="hybridMultilevel"/>
    <w:tmpl w:val="BAD4EE5C"/>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1" w15:restartNumberingAfterBreak="0">
    <w:nsid w:val="580E5A00"/>
    <w:multiLevelType w:val="hybridMultilevel"/>
    <w:tmpl w:val="1324A6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09613887">
    <w:abstractNumId w:val="1"/>
  </w:num>
  <w:num w:numId="2" w16cid:durableId="739130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234"/>
    <w:rsid w:val="00005A66"/>
    <w:rsid w:val="00011CD2"/>
    <w:rsid w:val="00023AF8"/>
    <w:rsid w:val="00026634"/>
    <w:rsid w:val="0003021D"/>
    <w:rsid w:val="00047931"/>
    <w:rsid w:val="00047A27"/>
    <w:rsid w:val="000861F3"/>
    <w:rsid w:val="00087C55"/>
    <w:rsid w:val="00092828"/>
    <w:rsid w:val="00092C40"/>
    <w:rsid w:val="000B26E8"/>
    <w:rsid w:val="000D7323"/>
    <w:rsid w:val="000E64BB"/>
    <w:rsid w:val="001110E8"/>
    <w:rsid w:val="001478F2"/>
    <w:rsid w:val="0015217A"/>
    <w:rsid w:val="0015575B"/>
    <w:rsid w:val="00162A42"/>
    <w:rsid w:val="00170A06"/>
    <w:rsid w:val="0017141E"/>
    <w:rsid w:val="00174F67"/>
    <w:rsid w:val="00182EEE"/>
    <w:rsid w:val="00193075"/>
    <w:rsid w:val="00194021"/>
    <w:rsid w:val="00194F47"/>
    <w:rsid w:val="00195FC0"/>
    <w:rsid w:val="001A0FA6"/>
    <w:rsid w:val="001A1449"/>
    <w:rsid w:val="001A6438"/>
    <w:rsid w:val="001A6CBC"/>
    <w:rsid w:val="001B5A4C"/>
    <w:rsid w:val="001B5C1A"/>
    <w:rsid w:val="001D459C"/>
    <w:rsid w:val="001E6984"/>
    <w:rsid w:val="00200301"/>
    <w:rsid w:val="00205C87"/>
    <w:rsid w:val="0021305E"/>
    <w:rsid w:val="002252D6"/>
    <w:rsid w:val="00236F32"/>
    <w:rsid w:val="00241311"/>
    <w:rsid w:val="002455A0"/>
    <w:rsid w:val="00246402"/>
    <w:rsid w:val="00255538"/>
    <w:rsid w:val="00256F62"/>
    <w:rsid w:val="002642D8"/>
    <w:rsid w:val="00270F87"/>
    <w:rsid w:val="0027529B"/>
    <w:rsid w:val="0027699C"/>
    <w:rsid w:val="00277A72"/>
    <w:rsid w:val="00295B73"/>
    <w:rsid w:val="002B7BAC"/>
    <w:rsid w:val="002D6539"/>
    <w:rsid w:val="002E1D39"/>
    <w:rsid w:val="003178DC"/>
    <w:rsid w:val="00342371"/>
    <w:rsid w:val="00361B1D"/>
    <w:rsid w:val="00367849"/>
    <w:rsid w:val="003678A0"/>
    <w:rsid w:val="003768CF"/>
    <w:rsid w:val="0039297C"/>
    <w:rsid w:val="003A0BD6"/>
    <w:rsid w:val="003B2CDF"/>
    <w:rsid w:val="003B7744"/>
    <w:rsid w:val="003C1C56"/>
    <w:rsid w:val="003D4106"/>
    <w:rsid w:val="003D43B9"/>
    <w:rsid w:val="003D5681"/>
    <w:rsid w:val="00402420"/>
    <w:rsid w:val="00407F48"/>
    <w:rsid w:val="00431C03"/>
    <w:rsid w:val="00436C45"/>
    <w:rsid w:val="00461183"/>
    <w:rsid w:val="004714D0"/>
    <w:rsid w:val="00496ECE"/>
    <w:rsid w:val="004A06E9"/>
    <w:rsid w:val="004B015F"/>
    <w:rsid w:val="004E38BA"/>
    <w:rsid w:val="005153F2"/>
    <w:rsid w:val="00531325"/>
    <w:rsid w:val="005335E1"/>
    <w:rsid w:val="00537B75"/>
    <w:rsid w:val="00545EDE"/>
    <w:rsid w:val="005506A4"/>
    <w:rsid w:val="00552304"/>
    <w:rsid w:val="005557ED"/>
    <w:rsid w:val="00570F3C"/>
    <w:rsid w:val="005754F6"/>
    <w:rsid w:val="00577F6C"/>
    <w:rsid w:val="005820C1"/>
    <w:rsid w:val="005A0883"/>
    <w:rsid w:val="005B2D6E"/>
    <w:rsid w:val="005B5BE0"/>
    <w:rsid w:val="005D08DD"/>
    <w:rsid w:val="005D6B15"/>
    <w:rsid w:val="005D79AA"/>
    <w:rsid w:val="005D7C20"/>
    <w:rsid w:val="005E6B88"/>
    <w:rsid w:val="005F41D1"/>
    <w:rsid w:val="00611110"/>
    <w:rsid w:val="00637B0D"/>
    <w:rsid w:val="00640856"/>
    <w:rsid w:val="00646AA0"/>
    <w:rsid w:val="0065303D"/>
    <w:rsid w:val="00684A90"/>
    <w:rsid w:val="006879E4"/>
    <w:rsid w:val="0069639E"/>
    <w:rsid w:val="006B46B9"/>
    <w:rsid w:val="006B496F"/>
    <w:rsid w:val="006C06FF"/>
    <w:rsid w:val="006C4E6E"/>
    <w:rsid w:val="006D43FA"/>
    <w:rsid w:val="006D5C55"/>
    <w:rsid w:val="006D6203"/>
    <w:rsid w:val="006F14FE"/>
    <w:rsid w:val="00701E42"/>
    <w:rsid w:val="00702253"/>
    <w:rsid w:val="00707594"/>
    <w:rsid w:val="00721965"/>
    <w:rsid w:val="00731507"/>
    <w:rsid w:val="007359A4"/>
    <w:rsid w:val="00786260"/>
    <w:rsid w:val="007A3C5D"/>
    <w:rsid w:val="007D338A"/>
    <w:rsid w:val="007E2FB1"/>
    <w:rsid w:val="007F0777"/>
    <w:rsid w:val="008420DD"/>
    <w:rsid w:val="008538A4"/>
    <w:rsid w:val="008616CC"/>
    <w:rsid w:val="00864E0C"/>
    <w:rsid w:val="00884693"/>
    <w:rsid w:val="008852F7"/>
    <w:rsid w:val="0088594B"/>
    <w:rsid w:val="00886016"/>
    <w:rsid w:val="00893AA9"/>
    <w:rsid w:val="00894B86"/>
    <w:rsid w:val="00897BB4"/>
    <w:rsid w:val="008A5F79"/>
    <w:rsid w:val="008B6608"/>
    <w:rsid w:val="008C418D"/>
    <w:rsid w:val="008D259B"/>
    <w:rsid w:val="008E7FD5"/>
    <w:rsid w:val="008F404D"/>
    <w:rsid w:val="0091698D"/>
    <w:rsid w:val="009173C7"/>
    <w:rsid w:val="009335F8"/>
    <w:rsid w:val="00934887"/>
    <w:rsid w:val="0094241C"/>
    <w:rsid w:val="00942A7D"/>
    <w:rsid w:val="009458D0"/>
    <w:rsid w:val="009508A2"/>
    <w:rsid w:val="009556B9"/>
    <w:rsid w:val="00961BB2"/>
    <w:rsid w:val="009651F7"/>
    <w:rsid w:val="00966675"/>
    <w:rsid w:val="0097007E"/>
    <w:rsid w:val="009803A0"/>
    <w:rsid w:val="00992FFA"/>
    <w:rsid w:val="009A3537"/>
    <w:rsid w:val="009A770A"/>
    <w:rsid w:val="009D2429"/>
    <w:rsid w:val="009D6458"/>
    <w:rsid w:val="009D7D72"/>
    <w:rsid w:val="009E1731"/>
    <w:rsid w:val="009F01DA"/>
    <w:rsid w:val="009F515B"/>
    <w:rsid w:val="00A30D82"/>
    <w:rsid w:val="00A33666"/>
    <w:rsid w:val="00A40362"/>
    <w:rsid w:val="00A613EB"/>
    <w:rsid w:val="00A74C7E"/>
    <w:rsid w:val="00A74DDF"/>
    <w:rsid w:val="00A7703B"/>
    <w:rsid w:val="00A91E63"/>
    <w:rsid w:val="00AA4849"/>
    <w:rsid w:val="00AA5BA7"/>
    <w:rsid w:val="00AB05E2"/>
    <w:rsid w:val="00AB1B76"/>
    <w:rsid w:val="00AB4BF9"/>
    <w:rsid w:val="00AB7B91"/>
    <w:rsid w:val="00AF664D"/>
    <w:rsid w:val="00B13433"/>
    <w:rsid w:val="00B13BC7"/>
    <w:rsid w:val="00B268C5"/>
    <w:rsid w:val="00B27541"/>
    <w:rsid w:val="00B3032F"/>
    <w:rsid w:val="00B347A3"/>
    <w:rsid w:val="00B416C7"/>
    <w:rsid w:val="00B51EB4"/>
    <w:rsid w:val="00B54699"/>
    <w:rsid w:val="00B633F9"/>
    <w:rsid w:val="00B87AAD"/>
    <w:rsid w:val="00B94355"/>
    <w:rsid w:val="00BC4A48"/>
    <w:rsid w:val="00BD3B97"/>
    <w:rsid w:val="00C12157"/>
    <w:rsid w:val="00C25C7A"/>
    <w:rsid w:val="00C47F55"/>
    <w:rsid w:val="00C61EA6"/>
    <w:rsid w:val="00C77C69"/>
    <w:rsid w:val="00C8141D"/>
    <w:rsid w:val="00C853A4"/>
    <w:rsid w:val="00C9022D"/>
    <w:rsid w:val="00C90EFA"/>
    <w:rsid w:val="00CA79DE"/>
    <w:rsid w:val="00CB47D2"/>
    <w:rsid w:val="00CC0016"/>
    <w:rsid w:val="00CC5554"/>
    <w:rsid w:val="00CC6219"/>
    <w:rsid w:val="00CD1100"/>
    <w:rsid w:val="00CF59D8"/>
    <w:rsid w:val="00D05F28"/>
    <w:rsid w:val="00D20C34"/>
    <w:rsid w:val="00D20C7D"/>
    <w:rsid w:val="00D31E97"/>
    <w:rsid w:val="00D375AD"/>
    <w:rsid w:val="00D63934"/>
    <w:rsid w:val="00D74CA1"/>
    <w:rsid w:val="00D848EA"/>
    <w:rsid w:val="00D870C6"/>
    <w:rsid w:val="00D97211"/>
    <w:rsid w:val="00DA5D0C"/>
    <w:rsid w:val="00DC0B15"/>
    <w:rsid w:val="00DC49FF"/>
    <w:rsid w:val="00DC5BBD"/>
    <w:rsid w:val="00DD192D"/>
    <w:rsid w:val="00DD5389"/>
    <w:rsid w:val="00DE4D9A"/>
    <w:rsid w:val="00DE769F"/>
    <w:rsid w:val="00DF1BB5"/>
    <w:rsid w:val="00E05A1B"/>
    <w:rsid w:val="00E07D77"/>
    <w:rsid w:val="00E5297D"/>
    <w:rsid w:val="00E52F33"/>
    <w:rsid w:val="00E55CE6"/>
    <w:rsid w:val="00E63C70"/>
    <w:rsid w:val="00E75605"/>
    <w:rsid w:val="00E81AA0"/>
    <w:rsid w:val="00E85234"/>
    <w:rsid w:val="00E95C2F"/>
    <w:rsid w:val="00EA494E"/>
    <w:rsid w:val="00EB2332"/>
    <w:rsid w:val="00EB6242"/>
    <w:rsid w:val="00EC5084"/>
    <w:rsid w:val="00EC7CFE"/>
    <w:rsid w:val="00ED5BD9"/>
    <w:rsid w:val="00ED5C2C"/>
    <w:rsid w:val="00ED7FD0"/>
    <w:rsid w:val="00EE76E5"/>
    <w:rsid w:val="00EF0D34"/>
    <w:rsid w:val="00EF0E97"/>
    <w:rsid w:val="00EF4202"/>
    <w:rsid w:val="00F01127"/>
    <w:rsid w:val="00F1663A"/>
    <w:rsid w:val="00F251C4"/>
    <w:rsid w:val="00F47F88"/>
    <w:rsid w:val="00F545E3"/>
    <w:rsid w:val="00F855C3"/>
    <w:rsid w:val="00F861D1"/>
    <w:rsid w:val="00FB1383"/>
    <w:rsid w:val="00FB19AC"/>
    <w:rsid w:val="00FB391B"/>
    <w:rsid w:val="00FB614D"/>
    <w:rsid w:val="00FB6831"/>
    <w:rsid w:val="00FD7258"/>
    <w:rsid w:val="00FE350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D6E3B"/>
  <w15:docId w15:val="{14BA731B-2B52-4DD5-9B9E-FB5F11F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30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5234"/>
    <w:pPr>
      <w:tabs>
        <w:tab w:val="center" w:pos="4419"/>
        <w:tab w:val="right" w:pos="8838"/>
      </w:tabs>
    </w:pPr>
  </w:style>
  <w:style w:type="character" w:customStyle="1" w:styleId="EncabezadoCar">
    <w:name w:val="Encabezado Car"/>
    <w:basedOn w:val="Fuentedeprrafopredeter"/>
    <w:link w:val="Encabezado"/>
    <w:uiPriority w:val="99"/>
    <w:rsid w:val="00E85234"/>
  </w:style>
  <w:style w:type="paragraph" w:styleId="Piedepgina">
    <w:name w:val="footer"/>
    <w:basedOn w:val="Normal"/>
    <w:link w:val="PiedepginaCar"/>
    <w:uiPriority w:val="99"/>
    <w:unhideWhenUsed/>
    <w:rsid w:val="00E85234"/>
    <w:pPr>
      <w:tabs>
        <w:tab w:val="center" w:pos="4419"/>
        <w:tab w:val="right" w:pos="8838"/>
      </w:tabs>
    </w:pPr>
  </w:style>
  <w:style w:type="character" w:customStyle="1" w:styleId="PiedepginaCar">
    <w:name w:val="Pie de página Car"/>
    <w:basedOn w:val="Fuentedeprrafopredeter"/>
    <w:link w:val="Piedepgina"/>
    <w:uiPriority w:val="99"/>
    <w:rsid w:val="00E85234"/>
  </w:style>
  <w:style w:type="paragraph" w:styleId="Textodeglobo">
    <w:name w:val="Balloon Text"/>
    <w:basedOn w:val="Normal"/>
    <w:link w:val="TextodegloboCar"/>
    <w:uiPriority w:val="99"/>
    <w:semiHidden/>
    <w:unhideWhenUsed/>
    <w:rsid w:val="003D43B9"/>
    <w:rPr>
      <w:rFonts w:ascii="Tahoma" w:hAnsi="Tahoma" w:cs="Tahoma"/>
      <w:sz w:val="16"/>
      <w:szCs w:val="16"/>
    </w:rPr>
  </w:style>
  <w:style w:type="character" w:customStyle="1" w:styleId="TextodegloboCar">
    <w:name w:val="Texto de globo Car"/>
    <w:basedOn w:val="Fuentedeprrafopredeter"/>
    <w:link w:val="Textodeglobo"/>
    <w:uiPriority w:val="99"/>
    <w:semiHidden/>
    <w:rsid w:val="003D43B9"/>
    <w:rPr>
      <w:rFonts w:ascii="Tahoma" w:hAnsi="Tahoma" w:cs="Tahoma"/>
      <w:sz w:val="16"/>
      <w:szCs w:val="16"/>
    </w:rPr>
  </w:style>
  <w:style w:type="paragraph" w:customStyle="1" w:styleId="Default">
    <w:name w:val="Default"/>
    <w:rsid w:val="00B27541"/>
    <w:pPr>
      <w:autoSpaceDE w:val="0"/>
      <w:autoSpaceDN w:val="0"/>
      <w:adjustRightInd w:val="0"/>
    </w:pPr>
    <w:rPr>
      <w:rFonts w:ascii="Arial" w:hAnsi="Arial" w:cs="Arial"/>
      <w:color w:val="000000"/>
      <w14:ligatures w14:val="standardContextual"/>
    </w:rPr>
  </w:style>
  <w:style w:type="character" w:styleId="Hipervnculo">
    <w:name w:val="Hyperlink"/>
    <w:basedOn w:val="Fuentedeprrafopredeter"/>
    <w:uiPriority w:val="99"/>
    <w:unhideWhenUsed/>
    <w:rsid w:val="00ED7FD0"/>
    <w:rPr>
      <w:color w:val="0563C1" w:themeColor="hyperlink"/>
      <w:u w:val="single"/>
    </w:rPr>
  </w:style>
  <w:style w:type="character" w:styleId="Mencinsinresolver">
    <w:name w:val="Unresolved Mention"/>
    <w:basedOn w:val="Fuentedeprrafopredeter"/>
    <w:uiPriority w:val="99"/>
    <w:semiHidden/>
    <w:unhideWhenUsed/>
    <w:rsid w:val="00ED7FD0"/>
    <w:rPr>
      <w:color w:val="605E5C"/>
      <w:shd w:val="clear" w:color="auto" w:fill="E1DFDD"/>
    </w:rPr>
  </w:style>
  <w:style w:type="table" w:styleId="Tablaconcuadrcula">
    <w:name w:val="Table Grid"/>
    <w:basedOn w:val="Tablanormal"/>
    <w:uiPriority w:val="39"/>
    <w:rsid w:val="00087C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05A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48064">
      <w:bodyDiv w:val="1"/>
      <w:marLeft w:val="0"/>
      <w:marRight w:val="0"/>
      <w:marTop w:val="0"/>
      <w:marBottom w:val="0"/>
      <w:divBdr>
        <w:top w:val="none" w:sz="0" w:space="0" w:color="auto"/>
        <w:left w:val="none" w:sz="0" w:space="0" w:color="auto"/>
        <w:bottom w:val="none" w:sz="0" w:space="0" w:color="auto"/>
        <w:right w:val="none" w:sz="0" w:space="0" w:color="auto"/>
      </w:divBdr>
    </w:div>
    <w:div w:id="194703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1825</Words>
  <Characters>10152</Characters>
  <Application>Microsoft Office Word</Application>
  <DocSecurity>0</DocSecurity>
  <Lines>181</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Alejandra Aguas</dc:creator>
  <cp:lastModifiedBy>César Ramírez Vergara.</cp:lastModifiedBy>
  <cp:revision>135</cp:revision>
  <cp:lastPrinted>2025-03-13T16:19:00Z</cp:lastPrinted>
  <dcterms:created xsi:type="dcterms:W3CDTF">2025-02-20T14:40:00Z</dcterms:created>
  <dcterms:modified xsi:type="dcterms:W3CDTF">2026-06-03T16:03:00Z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56f2ad4,38356161,3a6126c6</vt:lpwstr>
  </property>
  <property fmtid="{D5CDD505-2E9C-101B-9397-08002B2CF9AE}" pid="3" name="ClassificationContentMarkingFooterFontProps">
    <vt:lpwstr>#000000,10,Calibri</vt:lpwstr>
  </property>
  <property fmtid="{D5CDD505-2E9C-101B-9397-08002B2CF9AE}" pid="4" name="ClassificationContentMarkingFooterText">
    <vt:lpwstr>DOCUMENTO DE USO INTERNO</vt:lpwstr>
  </property>
  <property fmtid="{D5CDD505-2E9C-101B-9397-08002B2CF9AE}" pid="5" name="MSIP_Label_1f9f3886-688c-41ec-beb5-f6c446299e5f_Enabled">
    <vt:lpwstr>true</vt:lpwstr>
  </property>
  <property fmtid="{D5CDD505-2E9C-101B-9397-08002B2CF9AE}" pid="6" name="MSIP_Label_1f9f3886-688c-41ec-beb5-f6c446299e5f_SetDate">
    <vt:lpwstr>2026-03-24T18:55:38Z</vt:lpwstr>
  </property>
  <property fmtid="{D5CDD505-2E9C-101B-9397-08002B2CF9AE}" pid="7" name="MSIP_Label_1f9f3886-688c-41ec-beb5-f6c446299e5f_Method">
    <vt:lpwstr>Standard</vt:lpwstr>
  </property>
  <property fmtid="{D5CDD505-2E9C-101B-9397-08002B2CF9AE}" pid="8" name="MSIP_Label_1f9f3886-688c-41ec-beb5-f6c446299e5f_Name">
    <vt:lpwstr>Interno - Acceso abierto (No Cifrado)</vt:lpwstr>
  </property>
  <property fmtid="{D5CDD505-2E9C-101B-9397-08002B2CF9AE}" pid="9" name="MSIP_Label_1f9f3886-688c-41ec-beb5-f6c446299e5f_SiteId">
    <vt:lpwstr>73e84937-70de-4ceb-8f14-b8f9ab356f6e</vt:lpwstr>
  </property>
  <property fmtid="{D5CDD505-2E9C-101B-9397-08002B2CF9AE}" pid="10" name="MSIP_Label_1f9f3886-688c-41ec-beb5-f6c446299e5f_ActionId">
    <vt:lpwstr>7bf3752d-a889-442a-abc2-241a491c606c</vt:lpwstr>
  </property>
  <property fmtid="{D5CDD505-2E9C-101B-9397-08002B2CF9AE}" pid="11" name="MSIP_Label_1f9f3886-688c-41ec-beb5-f6c446299e5f_ContentBits">
    <vt:lpwstr>2</vt:lpwstr>
  </property>
  <property fmtid="{D5CDD505-2E9C-101B-9397-08002B2CF9AE}" pid="12" name="MSIP_Label_1f9f3886-688c-41ec-beb5-f6c446299e5f_Tag">
    <vt:lpwstr>10, 3, 0, 1</vt:lpwstr>
  </property>
</Properties>
</file>